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/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przedmiocie/module </w:t>
      </w:r>
      <w:r w:rsidDel="00000000" w:rsidR="00000000" w:rsidRPr="00000000">
        <w:rPr>
          <w:rtl w:val="0"/>
        </w:rPr>
      </w:r>
    </w:p>
    <w:tbl>
      <w:tblPr>
        <w:tblStyle w:val="Table1"/>
        <w:tblW w:w="9791.0" w:type="dxa"/>
        <w:jc w:val="left"/>
        <w:tblInd w:w="-39.0" w:type="dxa"/>
        <w:tblLayout w:type="fixed"/>
        <w:tblLook w:val="0000"/>
      </w:tblPr>
      <w:tblGrid>
        <w:gridCol w:w="2694"/>
        <w:gridCol w:w="7097"/>
        <w:tblGridChange w:id="0">
          <w:tblGrid>
            <w:gridCol w:w="2694"/>
            <w:gridCol w:w="709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przedmiotu/ modułu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Praktyka zawodowa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przedmiotu/ modułu*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P1/JII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(nazwa jednostki prowadzącej kierunek)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kształcenia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stacjonarne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I, II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-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1,2,3,4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przedmioty kierunkowe do wyboru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Damian Kurasz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 Damian Kurasz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na Wydziale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57.000000000002" w:type="dxa"/>
        <w:jc w:val="left"/>
        <w:tblInd w:w="-5.0" w:type="dxa"/>
        <w:tblLayout w:type="fixed"/>
        <w:tblLook w:val="000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55"/>
        <w:tblGridChange w:id="0">
          <w:tblGrid>
            <w:gridCol w:w="1048"/>
            <w:gridCol w:w="921"/>
            <w:gridCol w:w="801"/>
            <w:gridCol w:w="851"/>
            <w:gridCol w:w="811"/>
            <w:gridCol w:w="827"/>
            <w:gridCol w:w="780"/>
            <w:gridCol w:w="957"/>
            <w:gridCol w:w="1206"/>
            <w:gridCol w:w="15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zajęcia w formie tradycyjnej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1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1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1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zajęcia realizowane z wykorzystaniem metod i technik kształcenia na odległość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85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1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/modułu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765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w semestrach 1-4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80.0" w:type="dxa"/>
        <w:jc w:val="left"/>
        <w:tblInd w:w="108.0" w:type="dxa"/>
        <w:tblLayout w:type="fixed"/>
        <w:tblLook w:val="0000"/>
      </w:tblPr>
      <w:tblGrid>
        <w:gridCol w:w="9680"/>
        <w:tblGridChange w:id="0">
          <w:tblGrid>
            <w:gridCol w:w="9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Wiedza i umiejętności umożliwiające pracę muzyka na scenie z możliwością sprawnego czytania nut, opracowań w trybie a’vista. Sprawność improwizatorska dostosowana do potrzeb repertuaru. Umiejętność prowadzenia zespołów, pisania aranżacji i opracowań.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kształcenia , treści Programowe i stosowane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przedmiotu/modułu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80.0" w:type="dxa"/>
        <w:jc w:val="left"/>
        <w:tblInd w:w="108.0" w:type="dxa"/>
        <w:tblLayout w:type="fixed"/>
        <w:tblLook w:val="0000"/>
      </w:tblPr>
      <w:tblGrid>
        <w:gridCol w:w="851"/>
        <w:gridCol w:w="8829"/>
        <w:tblGridChange w:id="0">
          <w:tblGrid>
            <w:gridCol w:w="851"/>
            <w:gridCol w:w="88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Celem zajęć jest rozwijanie umiejętności i kompetencji studenta w zakresie prowadzenia zespołów  wokalnych, instrumentalnych i wokalno-instrumentalnych w aspekcie praktycznym. </w:t>
              <w:br w:type="textWrapping"/>
              <w:t xml:space="preserve">Powyższy cel osiągany jest poprzez: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Czynne uczestniczenie w zajęciach prowadzonych przez cenionych band-leaderów oraz    dyrygentów</w:t>
              <w:br w:type="textWrapping"/>
              <w:t xml:space="preserve">2. Kształcenie umiejętności samodzielnego rozwiązywania problemów techniczno-wykonawczych</w:t>
              <w:br w:type="textWrapping"/>
              <w:t xml:space="preserve">3. Opracowywanie i przyswajanie wybranych pozycji literatury muzycznej (aranżacja, instrumentacja, opracowanie)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Czynny udział w koncertach, spektaklach, wszelkich wydarzeniach artystycznych, które wymagają oprawy muzycznej.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Przygotowywanie oprawy muzycznej do ww wydarzeń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ind w:left="426" w:firstLine="0"/>
        <w:rPr/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kształcenia dla przedmiotu/ modułu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( </w:t>
      </w: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wypełnia koordynator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80.0" w:type="dxa"/>
        <w:jc w:val="left"/>
        <w:tblInd w:w="108.0" w:type="dxa"/>
        <w:tblLayout w:type="fixed"/>
        <w:tblLook w:val="0000"/>
      </w:tblPr>
      <w:tblGrid>
        <w:gridCol w:w="1701"/>
        <w:gridCol w:w="6096"/>
        <w:gridCol w:w="1883"/>
        <w:tblGridChange w:id="0">
          <w:tblGrid>
            <w:gridCol w:w="1701"/>
            <w:gridCol w:w="6096"/>
            <w:gridCol w:w="188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 efekt kształcenia)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kształcenia zdefiniowanego dla przedmiotu (modułu)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(KEK)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znajomość stylów muzycznych i orientuje się w ich tradycjach wykonawczych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ogólny zakres wiedzy dotyczący marketingowych, finansowych i prawnych aspektów zawodu muzyka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znajomość warsztatu improwizacji i aranżacji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umiejętność wykonywania repertuaru muzycznego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reprezentatywnego dla kierunku studiów „Jazz i muzyka rozrywkowa”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opanowany warsztat techniczny niezbędny do realizowania  prezentacji artystycznych oraz do stałego rozwoju poprzez ciągła pracę własną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zdolność do właściwej i efektywnej organizacji własnej pracy, indywidualnej i zespołowej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zdolność zastosowania współczesnych technologii do wszelkich zawodowych wyzwań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przygotowany do wszelkich wystąpień publicznych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wypełnia koordynator)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/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49.0" w:type="dxa"/>
        <w:jc w:val="left"/>
        <w:tblInd w:w="108.0" w:type="dxa"/>
        <w:tblLayout w:type="fixed"/>
        <w:tblLook w:val="0000"/>
      </w:tblPr>
      <w:tblGrid>
        <w:gridCol w:w="9649"/>
        <w:tblGridChange w:id="0">
          <w:tblGrid>
            <w:gridCol w:w="964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/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49.0" w:type="dxa"/>
        <w:jc w:val="left"/>
        <w:tblInd w:w="108.0" w:type="dxa"/>
        <w:tblLayout w:type="fixed"/>
        <w:tblLook w:val="0000"/>
      </w:tblPr>
      <w:tblGrid>
        <w:gridCol w:w="9649"/>
        <w:tblGridChange w:id="0">
          <w:tblGrid>
            <w:gridCol w:w="964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Prowadzenie prób z zespołami w oparciu o przygotowywany przez nie repertuar.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wokalne, instrumentalne i dyrygenckie, służące należytemu zaangażowaniu </w:t>
              <w:br w:type="textWrapping"/>
              <w:t xml:space="preserve">w ekspresji wykonawczej zespołów amatorskich.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Należyte wykorzystanie czasu i energii w pracy z zespołem.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Sposoby komunikowania się z zespołem.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Wykorzystania różnorodnych sposobów aktywności wokalnej, instrumentalnej i dyrygenckiej w pracy z zespołem prowadzonym okazjonalnie.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Prowadzenie różnorodnych ćwiczeń wokalnych i instrumentalnych służących rozwiązywaniu powstających problemów techniczno-wykonawczych.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 praktyczne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Indywidualna praca z zespołami wokalnymi,  instrumentalnymi i wokalno-instrumentalnymi.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Twórcza dyskusja z prowadzącymi praktyki, mająca na celu omówienie podstawowych problemów pracy oraz komunikacji z zespołem muzycznym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kształcenia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49.0" w:type="dxa"/>
        <w:jc w:val="left"/>
        <w:tblInd w:w="108.0" w:type="dxa"/>
        <w:tblLayout w:type="fixed"/>
        <w:tblLook w:val="0000"/>
      </w:tblPr>
      <w:tblGrid>
        <w:gridCol w:w="2410"/>
        <w:gridCol w:w="5103"/>
        <w:gridCol w:w="2136"/>
        <w:tblGridChange w:id="0">
          <w:tblGrid>
            <w:gridCol w:w="2410"/>
            <w:gridCol w:w="5103"/>
            <w:gridCol w:w="21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kształcenia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wypowiedź ustna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wypowiedź ustna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sprawozdanie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na zajęciach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80.0" w:type="dxa"/>
        <w:jc w:val="left"/>
        <w:tblInd w:w="108.0" w:type="dxa"/>
        <w:tblLayout w:type="fixed"/>
        <w:tblLook w:val="0000"/>
      </w:tblPr>
      <w:tblGrid>
        <w:gridCol w:w="9680"/>
        <w:tblGridChange w:id="0">
          <w:tblGrid>
            <w:gridCol w:w="9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następuje po każdym semestrze na podstawie uzyskiwanych postępów, wkładu pracy oraz oceny występów, koncertów.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zaliczenia jest obecność na zajęciach i aktywność podczas zajęć, oceny cząstkowe z samodzielnie realizowanych zadań oraz złożenie właściwej dokumentacji w wyznaczonym terminie.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49.0" w:type="dxa"/>
        <w:jc w:val="left"/>
        <w:tblInd w:w="108.0" w:type="dxa"/>
        <w:tblLayout w:type="fixed"/>
        <w:tblLook w:val="0000"/>
      </w:tblPr>
      <w:tblGrid>
        <w:gridCol w:w="4962"/>
        <w:gridCol w:w="4687"/>
        <w:tblGridChange w:id="0">
          <w:tblGrid>
            <w:gridCol w:w="4962"/>
            <w:gridCol w:w="468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planu z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studenta, tworzenie opracowan, przygotowywanie się do koncertów, itp.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PRZEDMIOTU/ MODUŁU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23.0" w:type="dxa"/>
        <w:jc w:val="left"/>
        <w:tblInd w:w="670.0" w:type="dxa"/>
        <w:tblLayout w:type="fixed"/>
        <w:tblLook w:val="0000"/>
      </w:tblPr>
      <w:tblGrid>
        <w:gridCol w:w="3544"/>
        <w:gridCol w:w="3979"/>
        <w:tblGridChange w:id="0">
          <w:tblGrid>
            <w:gridCol w:w="3544"/>
            <w:gridCol w:w="3979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Obowiązek odbycia 90 godzin praktyk w każdym semestrze zgodnie z Regulaminem praktyk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23.0" w:type="dxa"/>
        <w:jc w:val="left"/>
        <w:tblInd w:w="670.0" w:type="dxa"/>
        <w:tblLayout w:type="fixed"/>
        <w:tblLook w:val="0000"/>
      </w:tblPr>
      <w:tblGrid>
        <w:gridCol w:w="7523"/>
        <w:tblGridChange w:id="0">
          <w:tblGrid>
            <w:gridCol w:w="7523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  <w:br w:type="textWrapping"/>
              <w:t xml:space="preserve">Dostosowana do specyfiki miejsca, w którym odbywa się praktyka- ustalana i akceptowana na początku semestru. </w:t>
              <w:br w:type="textWrapping"/>
              <w:t xml:space="preserve">Sugerowane pozycje: </w:t>
              <w:br w:type="textWrapping"/>
              <w:t xml:space="preserve">Wojciech Kazimierz Olszewski – Sztuka aranżacji w muzyce jazzowej i rozrywkowej PWM 2010,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 of the Best Show Tunes Ever – Hal Leonard Europe 2006,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 Years of popular music 70’s – Volume 2 – International Music Publications 2003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 Years of popular music 90’s – Volume 1,2 – International Music Publications 2003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Andrzej Zubek – Ogólne zasady aranżacji big-bandowej, Katowice 2013,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Wielki Śpiewnik Agnieszki Osieckiej tom 1-10 – PWM Edition 2005,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Starsi Panowie Dwaj  - Hobo Records 2008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MS Gothic"/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rFonts w:ascii="Corbel" w:cs="Corbel" w:eastAsia="Corbel" w:hAnsi="Corbel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  <w:spacing w:after="200" w:line="276" w:lineRule="auto"/>
    </w:pPr>
    <w:rPr>
      <w:rFonts w:ascii="Calibri" w:cs="Calibri" w:eastAsia="Calibri" w:hAnsi="Calibri"/>
      <w:sz w:val="22"/>
      <w:szCs w:val="22"/>
      <w:lang w:eastAsia="zh-CN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Corbel" w:cs="Corbel" w:hAnsi="Corbel" w:hint="default"/>
      <w:sz w:val="24"/>
      <w:szCs w:val="24"/>
    </w:rPr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hint="default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 w:val="1"/>
      <w:bCs w:val="1"/>
    </w:rPr>
  </w:style>
  <w:style w:type="character" w:styleId="TekstdymkaZnak" w:customStyle="1">
    <w:name w:val="Tekst dymka Znak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rPr>
      <w:rFonts w:ascii="Calibri" w:cs="Calibri" w:eastAsia="Calibri" w:hAnsi="Calibri"/>
      <w:sz w:val="22"/>
      <w:szCs w:val="22"/>
    </w:rPr>
  </w:style>
  <w:style w:type="character" w:styleId="StopkaZnak" w:customStyle="1">
    <w:name w:val="Stopka Znak"/>
    <w:rPr>
      <w:rFonts w:ascii="Calibri" w:cs="Calibri" w:eastAsia="Calibri" w:hAnsi="Calibri"/>
      <w:sz w:val="22"/>
      <w:szCs w:val="22"/>
    </w:rPr>
  </w:style>
  <w:style w:type="character" w:styleId="TekstprzypisudolnegoZnak" w:customStyle="1">
    <w:name w:val="Tekst przypisu dolnego Znak"/>
    <w:rPr>
      <w:rFonts w:ascii="Calibri" w:cs="Times New Roman" w:hAnsi="Calibri"/>
      <w:sz w:val="20"/>
      <w:szCs w:val="20"/>
    </w:rPr>
  </w:style>
  <w:style w:type="character" w:styleId="Znakiprzypiswdolnych" w:customStyle="1">
    <w:name w:val="Znaki przypisów dolnych"/>
    <w:rPr>
      <w:vertAlign w:val="superscript"/>
    </w:rPr>
  </w:style>
  <w:style w:type="character" w:styleId="TekstpodstawowyZnak" w:customStyle="1">
    <w:name w:val="Tekst podstawowy Znak"/>
    <w:rPr>
      <w:rFonts w:ascii="Calibri" w:cs="Calibri" w:eastAsia="Calibri" w:hAnsi="Calibri"/>
      <w:sz w:val="22"/>
      <w:szCs w:val="22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paragraph" w:styleId="Nagwek1" w:customStyle="1">
    <w:name w:val="Nagłówek1"/>
    <w:basedOn w:val="Normalny"/>
    <w:next w:val="Tekstpodstawowy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0"/>
      <w:szCs w:val="20"/>
      <w:lang w:val="x-none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</w:style>
  <w:style w:type="paragraph" w:styleId="Akapitzlist">
    <w:name w:val="List Paragraph"/>
    <w:basedOn w:val="Normalny"/>
    <w:qFormat w:val="1"/>
    <w:pPr>
      <w:ind w:left="720"/>
      <w:contextualSpacing w:val="1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cs="Tahoma" w:hAnsi="Tahoma"/>
      <w:sz w:val="16"/>
      <w:szCs w:val="16"/>
      <w:lang w:val="x-none"/>
    </w:rPr>
  </w:style>
  <w:style w:type="paragraph" w:styleId="Nagwek">
    <w:name w:val="header"/>
    <w:basedOn w:val="Normalny"/>
    <w:pPr>
      <w:spacing w:after="0" w:line="240" w:lineRule="auto"/>
    </w:pPr>
    <w:rPr>
      <w:lang w:val="x-none"/>
    </w:rPr>
  </w:style>
  <w:style w:type="paragraph" w:styleId="Stopka">
    <w:name w:val="footer"/>
    <w:basedOn w:val="Normalny"/>
    <w:pPr>
      <w:spacing w:after="0" w:line="240" w:lineRule="auto"/>
    </w:pPr>
    <w:rPr>
      <w:lang w:val="x-none"/>
    </w:rPr>
  </w:style>
  <w:style w:type="paragraph" w:styleId="Default" w:customStyle="1">
    <w:name w:val="Default"/>
    <w:pPr>
      <w:suppressAutoHyphens w:val="1"/>
      <w:autoSpaceDE w:val="0"/>
    </w:pPr>
    <w:rPr>
      <w:rFonts w:ascii="Arial" w:cs="Arial" w:eastAsia="Calibri" w:hAnsi="Arial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Punktygwne" w:customStyle="1">
    <w:name w:val="Punkty główne"/>
    <w:basedOn w:val="Normalny"/>
    <w:pPr>
      <w:spacing w:after="60" w:before="240" w:line="240" w:lineRule="auto"/>
    </w:pPr>
    <w:rPr>
      <w:rFonts w:ascii="Times New Roman" w:cs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pPr>
      <w:overflowPunct w:val="0"/>
      <w:autoSpaceDE w:val="0"/>
      <w:spacing w:after="40" w:before="40" w:line="240" w:lineRule="auto"/>
      <w:jc w:val="both"/>
      <w:textAlignment w:val="baseline"/>
    </w:pPr>
    <w:rPr>
      <w:rFonts w:ascii="Times New Roman" w:cs="Times New Roman" w:eastAsia="Times New Roman" w:hAnsi="Times New Roman"/>
      <w:sz w:val="20"/>
      <w:szCs w:val="20"/>
    </w:rPr>
  </w:style>
  <w:style w:type="paragraph" w:styleId="Odpowiedzi" w:customStyle="1">
    <w:name w:val="Odpowiedzi"/>
    <w:basedOn w:val="Normalny"/>
    <w:pPr>
      <w:spacing w:after="40" w:before="40" w:line="240" w:lineRule="auto"/>
    </w:pPr>
    <w:rPr>
      <w:rFonts w:ascii="Times New Roman" w:cs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cs="Times New Roman" w:eastAsia="Times New Roman" w:hAnsi="Times New Roman"/>
      <w:b w:val="1"/>
      <w:szCs w:val="20"/>
    </w:rPr>
  </w:style>
  <w:style w:type="paragraph" w:styleId="Cele" w:customStyle="1">
    <w:name w:val="Cele"/>
    <w:basedOn w:val="Tekstpodstawowy"/>
    <w:pPr>
      <w:overflowPunct w:val="0"/>
      <w:autoSpaceDE w:val="0"/>
      <w:spacing w:after="0" w:before="120" w:line="240" w:lineRule="auto"/>
      <w:ind w:left="900" w:hanging="540"/>
      <w:jc w:val="both"/>
      <w:textAlignment w:val="baseline"/>
    </w:pPr>
    <w:rPr>
      <w:rFonts w:ascii="Times New Roman" w:cs="Times New Roman" w:eastAsia="Times New Roman" w:hAnsi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cs="Times New Roman" w:hAnsi="Times New Roman"/>
      <w:sz w:val="24"/>
    </w:rPr>
  </w:style>
  <w:style w:type="paragraph" w:styleId="centralniewrubryce" w:customStyle="1">
    <w:name w:val="centralnie w rubryce"/>
    <w:basedOn w:val="Normalny"/>
    <w:pPr>
      <w:overflowPunct w:val="0"/>
      <w:autoSpaceDE w:val="0"/>
      <w:spacing w:after="40" w:before="40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type="paragraph" w:styleId="Bezodstpw">
    <w:name w:val="No Spacing"/>
    <w:qFormat w:val="1"/>
    <w:pPr>
      <w:suppressAutoHyphens w:val="1"/>
    </w:pPr>
    <w:rPr>
      <w:rFonts w:ascii="Calibri" w:cs="Calibri" w:eastAsia="Calibri" w:hAnsi="Calibri"/>
      <w:sz w:val="22"/>
      <w:szCs w:val="22"/>
      <w:lang w:eastAsia="zh-CN"/>
    </w:r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TreA" w:customStyle="1">
    <w:name w:val="Treść A"/>
    <w:pPr>
      <w:suppressAutoHyphens w:val="1"/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lang w:val="de-D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w4a3T6P4Amy0l99KoCRyk9deYw==">CgMxLjA4AHIhMWVwRzVkSFd3MlpnYUpIYUV5cF9WTngwbFB6MXhkY0Yw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2020-09-30T09:47:00Z</dcterms:created>
  <dc:creator>User</dc:creator>
</cp:coreProperties>
</file>